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5E" w:rsidRPr="004C3ED4" w:rsidRDefault="009F405E" w:rsidP="009F405E">
      <w:pPr>
        <w:pStyle w:val="Heading2"/>
        <w:spacing w:before="0"/>
        <w:ind w:left="1440" w:hanging="720"/>
        <w:jc w:val="center"/>
        <w:rPr>
          <w:rFonts w:cs="Arial"/>
          <w:i/>
          <w:color w:val="auto"/>
          <w:sz w:val="36"/>
          <w:szCs w:val="36"/>
        </w:rPr>
      </w:pPr>
      <w:r w:rsidRPr="004C3ED4">
        <w:rPr>
          <w:rFonts w:cs="Arial"/>
          <w:i/>
          <w:color w:val="auto"/>
          <w:sz w:val="36"/>
          <w:szCs w:val="36"/>
        </w:rPr>
        <w:t xml:space="preserve">Agenda </w:t>
      </w:r>
    </w:p>
    <w:p w:rsidR="009F405E" w:rsidRPr="007A657E" w:rsidRDefault="009F405E" w:rsidP="009F405E">
      <w:pPr>
        <w:pStyle w:val="Heading2"/>
        <w:spacing w:before="0"/>
        <w:ind w:left="1440" w:hanging="720"/>
        <w:jc w:val="center"/>
        <w:rPr>
          <w:rFonts w:cs="Arial"/>
          <w:i/>
          <w:color w:val="auto"/>
          <w:szCs w:val="22"/>
        </w:rPr>
      </w:pPr>
      <w:r w:rsidRPr="007A657E">
        <w:rPr>
          <w:rFonts w:cs="Arial"/>
          <w:i/>
          <w:color w:val="auto"/>
          <w:szCs w:val="22"/>
        </w:rPr>
        <w:t>City of Yarra Bicycle Advisory Committee</w:t>
      </w:r>
    </w:p>
    <w:p w:rsidR="009F405E" w:rsidRPr="0083384F" w:rsidRDefault="009F405E" w:rsidP="009F405E">
      <w:pPr>
        <w:ind w:left="1440" w:hanging="720"/>
        <w:rPr>
          <w:rFonts w:cs="Arial"/>
          <w:sz w:val="16"/>
          <w:szCs w:val="16"/>
        </w:rPr>
      </w:pPr>
    </w:p>
    <w:p w:rsidR="009F405E" w:rsidRPr="0083384F" w:rsidRDefault="009F405E" w:rsidP="009F405E">
      <w:pPr>
        <w:ind w:left="1440" w:hanging="720"/>
        <w:jc w:val="center"/>
        <w:rPr>
          <w:rFonts w:cs="Arial"/>
          <w:szCs w:val="22"/>
        </w:rPr>
      </w:pPr>
      <w:r>
        <w:rPr>
          <w:rFonts w:cs="Arial"/>
          <w:szCs w:val="22"/>
        </w:rPr>
        <w:t>15 April 2014</w:t>
      </w:r>
    </w:p>
    <w:p w:rsidR="009F405E" w:rsidRPr="0083384F" w:rsidRDefault="009F405E" w:rsidP="009F405E">
      <w:pPr>
        <w:ind w:left="1440" w:hanging="720"/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Fitzroy Town Hall, 6.30</w:t>
      </w:r>
      <w:r>
        <w:rPr>
          <w:rFonts w:cs="Arial"/>
          <w:szCs w:val="22"/>
        </w:rPr>
        <w:t>–8.00</w:t>
      </w:r>
      <w:r w:rsidRPr="0083384F">
        <w:rPr>
          <w:rFonts w:cs="Arial"/>
          <w:szCs w:val="22"/>
        </w:rPr>
        <w:t xml:space="preserve">pm  </w:t>
      </w:r>
    </w:p>
    <w:p w:rsidR="009F405E" w:rsidRPr="0083384F" w:rsidRDefault="009F405E" w:rsidP="009F405E">
      <w:pPr>
        <w:ind w:left="1440" w:hanging="720"/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Mayor’s Room</w:t>
      </w:r>
    </w:p>
    <w:p w:rsidR="009F405E" w:rsidRDefault="009F405E" w:rsidP="009F405E">
      <w:pPr>
        <w:rPr>
          <w:rFonts w:cs="Arial"/>
          <w:sz w:val="16"/>
          <w:szCs w:val="16"/>
        </w:rPr>
      </w:pPr>
    </w:p>
    <w:p w:rsidR="009F405E" w:rsidRDefault="009F405E" w:rsidP="009F405E">
      <w:pPr>
        <w:ind w:left="1440" w:hanging="720"/>
        <w:rPr>
          <w:rFonts w:cs="Arial"/>
          <w:b/>
        </w:rPr>
      </w:pPr>
    </w:p>
    <w:p w:rsidR="009F405E" w:rsidRDefault="009F405E" w:rsidP="009F405E">
      <w:pPr>
        <w:ind w:left="1440" w:hanging="720"/>
        <w:rPr>
          <w:rFonts w:cs="Arial"/>
          <w:b/>
        </w:rPr>
      </w:pPr>
    </w:p>
    <w:p w:rsidR="009F405E" w:rsidRDefault="009F405E" w:rsidP="009F405E">
      <w:pPr>
        <w:ind w:left="709" w:hanging="709"/>
        <w:rPr>
          <w:rFonts w:cs="Arial"/>
        </w:rPr>
      </w:pPr>
      <w:r w:rsidRPr="0083384F">
        <w:rPr>
          <w:rFonts w:cs="Arial"/>
          <w:b/>
        </w:rPr>
        <w:t>Chair:</w:t>
      </w:r>
      <w:r w:rsidRPr="0083384F">
        <w:rPr>
          <w:rFonts w:cs="Arial"/>
        </w:rPr>
        <w:t xml:space="preserve"> Cr </w:t>
      </w:r>
      <w:r>
        <w:rPr>
          <w:rFonts w:cs="Arial"/>
        </w:rPr>
        <w:t>Misha Coleman</w:t>
      </w:r>
      <w:r w:rsidRPr="0083384F">
        <w:rPr>
          <w:rFonts w:cs="Arial"/>
        </w:rPr>
        <w:t xml:space="preserve"> </w:t>
      </w:r>
    </w:p>
    <w:p w:rsidR="009F405E" w:rsidRPr="0083384F" w:rsidRDefault="009F405E" w:rsidP="009F405E">
      <w:pPr>
        <w:ind w:left="709" w:hanging="709"/>
        <w:rPr>
          <w:rFonts w:cs="Arial"/>
        </w:rPr>
      </w:pPr>
      <w:r w:rsidRPr="0083384F">
        <w:rPr>
          <w:rFonts w:cs="Arial"/>
          <w:b/>
        </w:rPr>
        <w:t>Secretariat</w:t>
      </w:r>
      <w:r>
        <w:rPr>
          <w:rFonts w:cs="Arial"/>
          <w:b/>
        </w:rPr>
        <w:t xml:space="preserve">: </w:t>
      </w:r>
      <w:r w:rsidRPr="00B80D75">
        <w:rPr>
          <w:rFonts w:cs="Arial"/>
        </w:rPr>
        <w:t>Kate Simnett</w:t>
      </w:r>
      <w:r w:rsidRPr="0083384F">
        <w:rPr>
          <w:rFonts w:cs="Arial"/>
        </w:rPr>
        <w:t xml:space="preserve">, </w:t>
      </w:r>
      <w:r w:rsidRPr="0083384F">
        <w:rPr>
          <w:rFonts w:cs="Arial"/>
          <w:bCs/>
        </w:rPr>
        <w:t>Sustainable Transport Officer</w:t>
      </w:r>
    </w:p>
    <w:p w:rsidR="009F405E" w:rsidRPr="0083384F" w:rsidRDefault="009F405E" w:rsidP="009F405E">
      <w:pPr>
        <w:ind w:left="709" w:hanging="709"/>
        <w:rPr>
          <w:rFonts w:cs="Arial"/>
        </w:rPr>
      </w:pPr>
    </w:p>
    <w:p w:rsidR="009F405E" w:rsidRPr="00B80D75" w:rsidRDefault="009F405E" w:rsidP="009F405E">
      <w:pPr>
        <w:ind w:left="709" w:hanging="709"/>
        <w:rPr>
          <w:rFonts w:cs="Arial"/>
        </w:rPr>
      </w:pPr>
      <w:r>
        <w:rPr>
          <w:rFonts w:cs="Arial"/>
        </w:rPr>
        <w:t xml:space="preserve">Welcome and apologies, </w:t>
      </w:r>
      <w:r w:rsidRPr="00B80D75">
        <w:rPr>
          <w:rFonts w:cs="Arial"/>
        </w:rPr>
        <w:t>5 min</w:t>
      </w:r>
      <w:r>
        <w:rPr>
          <w:rFonts w:cs="Arial"/>
        </w:rPr>
        <w:t>utes</w:t>
      </w:r>
      <w:r w:rsidRPr="00B80D75">
        <w:rPr>
          <w:rFonts w:cs="Arial"/>
        </w:rPr>
        <w:t>, 6.30–6.35pm</w:t>
      </w:r>
    </w:p>
    <w:p w:rsidR="009F405E" w:rsidRPr="00B80D75" w:rsidRDefault="009F405E" w:rsidP="009F405E">
      <w:pPr>
        <w:ind w:left="709" w:hanging="709"/>
        <w:rPr>
          <w:rFonts w:cs="Arial"/>
          <w:b/>
        </w:rPr>
      </w:pPr>
    </w:p>
    <w:p w:rsidR="009F405E" w:rsidRDefault="009F405E" w:rsidP="009F405E">
      <w:pPr>
        <w:pStyle w:val="ListParagraph"/>
        <w:numPr>
          <w:ilvl w:val="0"/>
          <w:numId w:val="1"/>
        </w:numPr>
        <w:spacing w:after="0" w:afterAutospacing="0"/>
        <w:ind w:left="709" w:hanging="709"/>
        <w:rPr>
          <w:b/>
        </w:rPr>
      </w:pPr>
      <w:r>
        <w:rPr>
          <w:b/>
        </w:rPr>
        <w:t>Previous Business</w:t>
      </w:r>
      <w:r w:rsidRPr="001C3125">
        <w:rPr>
          <w:b/>
        </w:rPr>
        <w:t xml:space="preserve"> </w:t>
      </w:r>
    </w:p>
    <w:p w:rsidR="008E446F" w:rsidRPr="007D1054" w:rsidRDefault="008E446F" w:rsidP="008E446F">
      <w:pPr>
        <w:pStyle w:val="ListParagraph"/>
        <w:numPr>
          <w:ilvl w:val="1"/>
          <w:numId w:val="1"/>
        </w:numPr>
        <w:ind w:left="709" w:hanging="709"/>
        <w:rPr>
          <w:b/>
        </w:rPr>
      </w:pPr>
      <w:r>
        <w:rPr>
          <w:b/>
        </w:rPr>
        <w:t>Wellington St Update</w:t>
      </w:r>
    </w:p>
    <w:p w:rsidR="008E446F" w:rsidRDefault="00B5137A" w:rsidP="008E446F">
      <w:pPr>
        <w:pStyle w:val="ListParagraph"/>
      </w:pPr>
      <w:r>
        <w:t>Council is in the process of f</w:t>
      </w:r>
      <w:r w:rsidR="008E446F">
        <w:t>ine tuning</w:t>
      </w:r>
      <w:r>
        <w:t xml:space="preserve"> the design for the Wellington St Bicycle Facility (Johnston to Victoria Parade) to then go to tender </w:t>
      </w:r>
      <w:r w:rsidR="008E446F">
        <w:t>mid-</w:t>
      </w:r>
      <w:r>
        <w:t>April.</w:t>
      </w:r>
    </w:p>
    <w:p w:rsidR="00B5137A" w:rsidRDefault="00B5137A" w:rsidP="008E446F">
      <w:pPr>
        <w:pStyle w:val="ListParagraph"/>
      </w:pPr>
      <w:r>
        <w:t xml:space="preserve">Max Gilbert (contractor working on the design and contracts for Wellington St in Alistair’s absence) will present the latest designs for comment. </w:t>
      </w:r>
    </w:p>
    <w:p w:rsidR="008E446F" w:rsidRPr="009F405E" w:rsidRDefault="008E446F" w:rsidP="008E446F">
      <w:pPr>
        <w:pStyle w:val="ListParagraph"/>
      </w:pPr>
      <w:r>
        <w:t>Max Gilbert, 10 minutes, 6:35 – 6:45pm.</w:t>
      </w:r>
    </w:p>
    <w:p w:rsidR="00C61E33" w:rsidRDefault="00C61E33" w:rsidP="00C61E33">
      <w:pPr>
        <w:pStyle w:val="ListParagraph"/>
        <w:numPr>
          <w:ilvl w:val="1"/>
          <w:numId w:val="1"/>
        </w:numPr>
        <w:ind w:left="709" w:hanging="709"/>
        <w:rPr>
          <w:b/>
        </w:rPr>
      </w:pPr>
      <w:r w:rsidRPr="009F405E">
        <w:rPr>
          <w:b/>
        </w:rPr>
        <w:t>LATM/BAC Involvement</w:t>
      </w:r>
    </w:p>
    <w:p w:rsidR="00C61E33" w:rsidRDefault="00C61E33" w:rsidP="00C61E33">
      <w:pPr>
        <w:pStyle w:val="ListParagraph"/>
        <w:ind w:left="709"/>
      </w:pPr>
      <w:r>
        <w:t>No comments were received from the BAC by Noel Wootten on LATM 16. Design to be completed by April 2014 to be delivered by June 2014.</w:t>
      </w:r>
    </w:p>
    <w:p w:rsidR="00C61E33" w:rsidRDefault="00C61E33" w:rsidP="00C61E33">
      <w:pPr>
        <w:pStyle w:val="ListParagraph"/>
        <w:ind w:left="709"/>
      </w:pPr>
      <w:r>
        <w:t xml:space="preserve">One comment was received about the process of LATM involvement; </w:t>
      </w:r>
      <w:r w:rsidRPr="007D1054">
        <w:rPr>
          <w:i/>
        </w:rPr>
        <w:t>“given the LATMS are annual (and we know which ones are coming) can we put them on the agenda for annual consideration?”</w:t>
      </w:r>
      <w:r>
        <w:t xml:space="preserve">  </w:t>
      </w:r>
    </w:p>
    <w:p w:rsidR="00C61E33" w:rsidRDefault="00C61E33" w:rsidP="00C61E33">
      <w:pPr>
        <w:pStyle w:val="ListParagraph"/>
        <w:ind w:left="709"/>
      </w:pPr>
      <w:r>
        <w:t>KS thoughts: I think it might be more useful to look at each area after the first draft has been completed.  Then we’re looking at a map, proposed treatments etc. rather than a clean slate.</w:t>
      </w:r>
    </w:p>
    <w:p w:rsidR="00C61E33" w:rsidRDefault="00C61E33" w:rsidP="00C61E33">
      <w:pPr>
        <w:pStyle w:val="ListParagraph"/>
        <w:ind w:left="709"/>
      </w:pPr>
      <w:r>
        <w:t xml:space="preserve">Draft version (hard copy) of LATM 12 available for comments to Noel Wootten. Strategic Transport </w:t>
      </w:r>
      <w:proofErr w:type="gramStart"/>
      <w:r>
        <w:t>have</w:t>
      </w:r>
      <w:proofErr w:type="gramEnd"/>
      <w:r>
        <w:t xml:space="preserve"> already reviewed this LATM.</w:t>
      </w:r>
    </w:p>
    <w:p w:rsidR="00C61E33" w:rsidRDefault="00C61E33" w:rsidP="00C61E33">
      <w:pPr>
        <w:pStyle w:val="ListParagraph"/>
        <w:ind w:left="709"/>
      </w:pPr>
      <w:proofErr w:type="gramStart"/>
      <w:r>
        <w:t>Kate, 10 minutes, 6:45 – 6:55pm.</w:t>
      </w:r>
      <w:proofErr w:type="gramEnd"/>
    </w:p>
    <w:p w:rsidR="009F405E" w:rsidRDefault="009F405E" w:rsidP="009F405E">
      <w:pPr>
        <w:pStyle w:val="ListParagraph"/>
        <w:numPr>
          <w:ilvl w:val="1"/>
          <w:numId w:val="1"/>
        </w:numPr>
        <w:ind w:left="709" w:hanging="709"/>
        <w:rPr>
          <w:b/>
        </w:rPr>
      </w:pPr>
      <w:r w:rsidRPr="009F405E">
        <w:rPr>
          <w:b/>
        </w:rPr>
        <w:t>LATM Draft Policy</w:t>
      </w:r>
    </w:p>
    <w:p w:rsidR="009F405E" w:rsidRPr="009F405E" w:rsidRDefault="009F405E" w:rsidP="009F405E">
      <w:pPr>
        <w:pStyle w:val="ListParagraph"/>
        <w:ind w:left="709"/>
      </w:pPr>
      <w:r>
        <w:t>The</w:t>
      </w:r>
      <w:r w:rsidR="00E52704">
        <w:t xml:space="preserve"> Draft LATM P</w:t>
      </w:r>
      <w:r>
        <w:t xml:space="preserve">olicy </w:t>
      </w:r>
      <w:r w:rsidR="00E52704">
        <w:t>is now closed for public comment and will be taken to Council in due course.</w:t>
      </w:r>
    </w:p>
    <w:p w:rsidR="00C61E33" w:rsidRPr="00270676" w:rsidRDefault="00C61E33" w:rsidP="00C61E33">
      <w:pPr>
        <w:pStyle w:val="ListParagraph"/>
        <w:numPr>
          <w:ilvl w:val="1"/>
          <w:numId w:val="1"/>
        </w:numPr>
        <w:ind w:left="709" w:hanging="709"/>
      </w:pPr>
      <w:r>
        <w:rPr>
          <w:b/>
          <w:bCs/>
        </w:rPr>
        <w:lastRenderedPageBreak/>
        <w:t>Main Yarra Trail Delegates Report</w:t>
      </w:r>
    </w:p>
    <w:p w:rsidR="00C61E33" w:rsidRDefault="00C61E33" w:rsidP="00C61E33">
      <w:pPr>
        <w:pStyle w:val="ListParagraph"/>
        <w:ind w:left="709"/>
      </w:pPr>
      <w:r>
        <w:t>Letter sent from Mayor 13/03/2014.</w:t>
      </w:r>
    </w:p>
    <w:p w:rsidR="009F405E" w:rsidRDefault="009F405E" w:rsidP="009F405E">
      <w:pPr>
        <w:pStyle w:val="ListParagraph"/>
        <w:numPr>
          <w:ilvl w:val="1"/>
          <w:numId w:val="1"/>
        </w:numPr>
        <w:ind w:left="709" w:hanging="709"/>
        <w:rPr>
          <w:b/>
        </w:rPr>
      </w:pPr>
      <w:r w:rsidRPr="009F405E">
        <w:rPr>
          <w:b/>
        </w:rPr>
        <w:t>Brunswick St Corridor Woking Group</w:t>
      </w:r>
    </w:p>
    <w:p w:rsidR="00AA7F79" w:rsidRDefault="009F405E" w:rsidP="00AA7F79">
      <w:pPr>
        <w:pStyle w:val="ListParagraph"/>
        <w:ind w:left="709"/>
      </w:pPr>
      <w:r>
        <w:t xml:space="preserve">Working group members have been finalised and alerted to their success.  </w:t>
      </w:r>
      <w:proofErr w:type="gramStart"/>
      <w:r>
        <w:t>First meeting to be held Wednesday April 16</w:t>
      </w:r>
      <w:r w:rsidRPr="009F405E">
        <w:rPr>
          <w:vertAlign w:val="superscript"/>
        </w:rPr>
        <w:t>th</w:t>
      </w:r>
      <w:r>
        <w:t>.</w:t>
      </w:r>
      <w:proofErr w:type="gramEnd"/>
      <w:r>
        <w:t xml:space="preserve">  </w:t>
      </w:r>
      <w:proofErr w:type="gramStart"/>
      <w:r>
        <w:t>Regular updates to be posted to the website.</w:t>
      </w:r>
      <w:proofErr w:type="gramEnd"/>
    </w:p>
    <w:p w:rsidR="007D1054" w:rsidRDefault="007D1054" w:rsidP="007D1054">
      <w:pPr>
        <w:pStyle w:val="ListParagraph"/>
        <w:numPr>
          <w:ilvl w:val="1"/>
          <w:numId w:val="1"/>
        </w:numPr>
        <w:ind w:left="709" w:hanging="709"/>
        <w:rPr>
          <w:b/>
        </w:rPr>
      </w:pPr>
      <w:r w:rsidRPr="007D1054">
        <w:rPr>
          <w:b/>
        </w:rPr>
        <w:t>Sh</w:t>
      </w:r>
      <w:r>
        <w:rPr>
          <w:b/>
        </w:rPr>
        <w:t>a</w:t>
      </w:r>
      <w:r w:rsidRPr="007D1054">
        <w:rPr>
          <w:b/>
        </w:rPr>
        <w:t>red Trail Etiquette</w:t>
      </w:r>
      <w:r>
        <w:rPr>
          <w:b/>
        </w:rPr>
        <w:t xml:space="preserve"> Project Update</w:t>
      </w:r>
    </w:p>
    <w:p w:rsidR="00CE526E" w:rsidRPr="00CE526E" w:rsidRDefault="00CE526E" w:rsidP="00CE526E">
      <w:pPr>
        <w:pStyle w:val="ListParagraph"/>
      </w:pPr>
      <w:r w:rsidRPr="00CE526E">
        <w:t xml:space="preserve">Council’s Open Space Planning unit is continuing to work with Squeaky Wheel and </w:t>
      </w:r>
      <w:proofErr w:type="spellStart"/>
      <w:r w:rsidRPr="00CE526E">
        <w:t>CC&amp;Co</w:t>
      </w:r>
      <w:proofErr w:type="spellEnd"/>
      <w:r w:rsidRPr="00CE526E">
        <w:t xml:space="preserve"> to produce shared trail signage that aims to improve the mindfulness of all path users. </w:t>
      </w:r>
    </w:p>
    <w:p w:rsidR="00CE526E" w:rsidRPr="00CE526E" w:rsidRDefault="00612FE6" w:rsidP="00CE526E">
      <w:pPr>
        <w:pStyle w:val="ListParagraph"/>
      </w:pPr>
      <w:r>
        <w:t>Various m</w:t>
      </w:r>
      <w:r w:rsidR="00CE526E" w:rsidRPr="00CE526E">
        <w:t xml:space="preserve">essages </w:t>
      </w:r>
      <w:r>
        <w:t xml:space="preserve">have been developed and </w:t>
      </w:r>
      <w:r w:rsidR="00CE526E" w:rsidRPr="00CE526E">
        <w:t>are being reviewed</w:t>
      </w:r>
      <w:r w:rsidR="006964B7">
        <w:t>.</w:t>
      </w:r>
      <w:r w:rsidR="00CE526E" w:rsidRPr="00CE526E">
        <w:t xml:space="preserve">  Mark and the Squeaky Wheel are also consulting with the DAC</w:t>
      </w:r>
      <w:r w:rsidR="00434273">
        <w:t xml:space="preserve"> in May</w:t>
      </w:r>
      <w:r w:rsidR="00CE526E" w:rsidRPr="00CE526E">
        <w:t>.</w:t>
      </w:r>
    </w:p>
    <w:p w:rsidR="00CE526E" w:rsidRPr="00CE526E" w:rsidRDefault="00CE526E" w:rsidP="00CE526E">
      <w:pPr>
        <w:pStyle w:val="ListParagraph"/>
        <w:rPr>
          <w:color w:val="1F497D"/>
        </w:rPr>
      </w:pPr>
      <w:r w:rsidRPr="00CE526E">
        <w:t xml:space="preserve">For further information, please contact Mark Donnellan on 9205 5724 or email: </w:t>
      </w:r>
      <w:hyperlink r:id="rId8" w:history="1">
        <w:r>
          <w:rPr>
            <w:rStyle w:val="Hyperlink"/>
          </w:rPr>
          <w:t>mark.donnellan@yarracity.vic.gov.au</w:t>
        </w:r>
      </w:hyperlink>
      <w:r w:rsidRPr="00CE526E">
        <w:rPr>
          <w:color w:val="1F497D"/>
        </w:rPr>
        <w:t>.</w:t>
      </w:r>
    </w:p>
    <w:p w:rsidR="008F29FB" w:rsidRPr="00EA10BC" w:rsidRDefault="008F29FB" w:rsidP="008F29FB">
      <w:pPr>
        <w:pStyle w:val="ListParagraph"/>
        <w:numPr>
          <w:ilvl w:val="1"/>
          <w:numId w:val="1"/>
        </w:numPr>
        <w:ind w:left="709" w:hanging="709"/>
        <w:rPr>
          <w:b/>
        </w:rPr>
      </w:pPr>
      <w:r w:rsidRPr="00EA10BC">
        <w:rPr>
          <w:b/>
        </w:rPr>
        <w:t>Alexandra Parade Bike Facility</w:t>
      </w:r>
    </w:p>
    <w:p w:rsidR="008F29FB" w:rsidRPr="00EA10BC" w:rsidRDefault="008F29FB" w:rsidP="008F29FB">
      <w:pPr>
        <w:pStyle w:val="ListParagraph"/>
        <w:ind w:left="709"/>
        <w:rPr>
          <w:highlight w:val="yellow"/>
        </w:rPr>
      </w:pPr>
      <w:r w:rsidRPr="00EA10BC">
        <w:t>No update available.</w:t>
      </w:r>
    </w:p>
    <w:p w:rsidR="005E5ED7" w:rsidRPr="00FF6DDF" w:rsidRDefault="005E5ED7" w:rsidP="005E5ED7">
      <w:pPr>
        <w:pStyle w:val="ListParagraph"/>
        <w:numPr>
          <w:ilvl w:val="1"/>
          <w:numId w:val="1"/>
        </w:numPr>
        <w:ind w:left="709" w:hanging="709"/>
        <w:rPr>
          <w:b/>
        </w:rPr>
      </w:pPr>
      <w:r w:rsidRPr="00FF6DDF">
        <w:rPr>
          <w:b/>
        </w:rPr>
        <w:t>Capital City Trail Crossings</w:t>
      </w:r>
    </w:p>
    <w:p w:rsidR="00FF6DDF" w:rsidRPr="00FF6DDF" w:rsidRDefault="00FF6DDF" w:rsidP="00FF6DDF">
      <w:pPr>
        <w:pStyle w:val="ListParagraph"/>
        <w:ind w:left="709"/>
      </w:pPr>
      <w:r w:rsidRPr="00FF6DDF">
        <w:t>Yarra and the City of Melbourne are working on a design to prioritise the crossing of the Capital City Trail (CCT) crossing at Bowen Crescent.  Preliminary designs are not yet available but will be circulated when they become available.</w:t>
      </w:r>
    </w:p>
    <w:p w:rsidR="00FF6DDF" w:rsidRPr="00FF6DDF" w:rsidRDefault="00FF6DDF" w:rsidP="00FF6DDF">
      <w:pPr>
        <w:pStyle w:val="ListParagraph"/>
        <w:ind w:left="709"/>
      </w:pPr>
      <w:r w:rsidRPr="00FF6DDF">
        <w:t>Bhavin Shah will talk through the current designs for North Brunswick St</w:t>
      </w:r>
      <w:r w:rsidR="008F29FB">
        <w:t xml:space="preserve"> and Rae St</w:t>
      </w:r>
      <w:r w:rsidRPr="00FF6DDF">
        <w:t xml:space="preserve"> and the CCT – which are as yet, unfunded. </w:t>
      </w:r>
    </w:p>
    <w:p w:rsidR="005E5ED7" w:rsidRPr="005E5ED7" w:rsidRDefault="005E5ED7" w:rsidP="00EA10BC">
      <w:pPr>
        <w:ind w:firstLine="709"/>
      </w:pPr>
      <w:r w:rsidRPr="00FF6DDF">
        <w:t>Kate</w:t>
      </w:r>
      <w:r w:rsidR="00FF6DDF" w:rsidRPr="00FF6DDF">
        <w:t>/Bhavin</w:t>
      </w:r>
      <w:r w:rsidRPr="00FF6DDF">
        <w:t>, 10 minutes, 7:05 – 7:15pm</w:t>
      </w:r>
    </w:p>
    <w:p w:rsidR="005E5ED7" w:rsidRPr="005E5ED7" w:rsidRDefault="005E5ED7" w:rsidP="005E5ED7">
      <w:pPr>
        <w:rPr>
          <w:b/>
        </w:rPr>
      </w:pPr>
    </w:p>
    <w:p w:rsidR="009F405E" w:rsidRPr="00BE0518" w:rsidRDefault="009F405E" w:rsidP="009F405E">
      <w:pPr>
        <w:pStyle w:val="ListParagraph"/>
        <w:numPr>
          <w:ilvl w:val="0"/>
          <w:numId w:val="1"/>
        </w:numPr>
        <w:ind w:left="709" w:hanging="709"/>
        <w:rPr>
          <w:b/>
        </w:rPr>
      </w:pPr>
      <w:r w:rsidRPr="00BE0518">
        <w:rPr>
          <w:b/>
        </w:rPr>
        <w:t xml:space="preserve">Delegates Report(s) </w:t>
      </w:r>
    </w:p>
    <w:p w:rsidR="009F405E" w:rsidRPr="00BE0518" w:rsidRDefault="009F405E" w:rsidP="009F405E">
      <w:pPr>
        <w:pStyle w:val="ListParagraph"/>
        <w:numPr>
          <w:ilvl w:val="1"/>
          <w:numId w:val="1"/>
        </w:numPr>
        <w:ind w:left="709" w:hanging="709"/>
        <w:rPr>
          <w:b/>
        </w:rPr>
      </w:pPr>
      <w:r>
        <w:rPr>
          <w:b/>
        </w:rPr>
        <w:t>February Meeting</w:t>
      </w:r>
    </w:p>
    <w:p w:rsidR="009F405E" w:rsidRPr="00BE0518" w:rsidRDefault="009F405E" w:rsidP="00F6498B">
      <w:pPr>
        <w:ind w:left="709"/>
      </w:pPr>
      <w:r w:rsidRPr="00BE0518">
        <w:t xml:space="preserve">Cr </w:t>
      </w:r>
      <w:r>
        <w:t>Misha Coleman</w:t>
      </w:r>
      <w:r w:rsidRPr="00BE0518">
        <w:t xml:space="preserve">, 10 minutes, </w:t>
      </w:r>
      <w:r w:rsidR="005E5ED7">
        <w:t>7:15</w:t>
      </w:r>
      <w:r w:rsidRPr="00BE0518">
        <w:t xml:space="preserve"> – </w:t>
      </w:r>
      <w:r w:rsidR="00866A52">
        <w:t>7:</w:t>
      </w:r>
      <w:r w:rsidR="005E5ED7">
        <w:t>2</w:t>
      </w:r>
      <w:r w:rsidR="00866A52">
        <w:t>5</w:t>
      </w:r>
      <w:r w:rsidRPr="00BE0518">
        <w:t>pm</w:t>
      </w:r>
    </w:p>
    <w:p w:rsidR="009F405E" w:rsidRDefault="009F405E" w:rsidP="009F405E">
      <w:pPr>
        <w:ind w:left="709" w:hanging="709"/>
        <w:rPr>
          <w:b/>
        </w:rPr>
      </w:pPr>
    </w:p>
    <w:p w:rsidR="009F405E" w:rsidRDefault="009F405E" w:rsidP="009F405E">
      <w:pPr>
        <w:pStyle w:val="ListParagraph"/>
        <w:numPr>
          <w:ilvl w:val="0"/>
          <w:numId w:val="1"/>
        </w:numPr>
        <w:ind w:left="709" w:hanging="709"/>
        <w:rPr>
          <w:b/>
        </w:rPr>
      </w:pPr>
      <w:r>
        <w:rPr>
          <w:b/>
        </w:rPr>
        <w:t>New Business</w:t>
      </w:r>
    </w:p>
    <w:p w:rsidR="00F6498B" w:rsidRPr="00DC365E" w:rsidRDefault="007D1054" w:rsidP="009F405E">
      <w:pPr>
        <w:pStyle w:val="ListParagraph"/>
        <w:numPr>
          <w:ilvl w:val="1"/>
          <w:numId w:val="1"/>
        </w:numPr>
        <w:spacing w:after="0" w:afterAutospacing="0"/>
        <w:ind w:left="709" w:hanging="709"/>
      </w:pPr>
      <w:r w:rsidRPr="00DC365E">
        <w:rPr>
          <w:b/>
        </w:rPr>
        <w:t>Bikes on Footpaths – Queens Parade</w:t>
      </w:r>
    </w:p>
    <w:p w:rsidR="00C61E33" w:rsidRDefault="00C61E33" w:rsidP="00F6498B">
      <w:pPr>
        <w:pStyle w:val="ListParagraph"/>
        <w:spacing w:after="0" w:afterAutospacing="0"/>
        <w:ind w:left="709"/>
      </w:pPr>
    </w:p>
    <w:p w:rsidR="00F6498B" w:rsidRDefault="00F6498B" w:rsidP="00F6498B">
      <w:pPr>
        <w:pStyle w:val="ListParagraph"/>
        <w:spacing w:after="0" w:afterAutospacing="0"/>
        <w:ind w:left="709"/>
      </w:pPr>
      <w:r w:rsidRPr="00DC365E">
        <w:t>Council has been receiving an increasing number of conflicts between riders and pedestrians on the footpath on Queens Parade.</w:t>
      </w:r>
    </w:p>
    <w:p w:rsidR="00DC365E" w:rsidRDefault="00DC365E" w:rsidP="00DC365E">
      <w:pPr>
        <w:ind w:left="709"/>
      </w:pPr>
      <w:r>
        <w:lastRenderedPageBreak/>
        <w:t>Heidi Marfurt and Kate Simnett are proposing a behaviour change project called “Stop, Shop and Latte” which aims to</w:t>
      </w:r>
      <w:r w:rsidRPr="004B3867">
        <w:t xml:space="preserve">: </w:t>
      </w:r>
    </w:p>
    <w:p w:rsidR="00DC365E" w:rsidRDefault="00DC365E" w:rsidP="00DC365E">
      <w:pPr>
        <w:pStyle w:val="ListParagraph"/>
        <w:numPr>
          <w:ilvl w:val="0"/>
          <w:numId w:val="8"/>
        </w:numPr>
        <w:tabs>
          <w:tab w:val="left" w:pos="993"/>
        </w:tabs>
        <w:spacing w:after="200" w:afterAutospacing="0" w:line="276" w:lineRule="auto"/>
        <w:ind w:left="709" w:right="0" w:firstLine="0"/>
        <w:contextualSpacing/>
      </w:pPr>
      <w:r>
        <w:t>R</w:t>
      </w:r>
      <w:r>
        <w:t>educe number of bike riders riding on footpath in Queens Parade</w:t>
      </w:r>
      <w:r>
        <w:t>; and</w:t>
      </w:r>
    </w:p>
    <w:p w:rsidR="00DC365E" w:rsidRDefault="00DC365E" w:rsidP="00DC365E">
      <w:pPr>
        <w:pStyle w:val="ListParagraph"/>
        <w:numPr>
          <w:ilvl w:val="0"/>
          <w:numId w:val="8"/>
        </w:numPr>
        <w:tabs>
          <w:tab w:val="left" w:pos="993"/>
        </w:tabs>
        <w:spacing w:after="200" w:afterAutospacing="0" w:line="276" w:lineRule="auto"/>
        <w:ind w:left="709" w:right="0" w:firstLine="0"/>
        <w:contextualSpacing/>
      </w:pPr>
      <w:r>
        <w:t>E</w:t>
      </w:r>
      <w:r>
        <w:t>ncourage more people to shop by bike</w:t>
      </w:r>
    </w:p>
    <w:p w:rsidR="00DC365E" w:rsidRDefault="00DC365E" w:rsidP="00DC365E">
      <w:pPr>
        <w:ind w:left="709"/>
      </w:pPr>
      <w:r>
        <w:t>It will involve a s</w:t>
      </w:r>
      <w:r>
        <w:t>uite of measures including new infrastructure, direct engagement with cyclists and pedestrians, printed media and social media.</w:t>
      </w:r>
      <w:r>
        <w:t xml:space="preserve">  Some of the steps include:</w:t>
      </w:r>
    </w:p>
    <w:p w:rsidR="00DC365E" w:rsidRDefault="00DC365E" w:rsidP="00DC365E">
      <w:pPr>
        <w:pStyle w:val="ListParagraph"/>
        <w:numPr>
          <w:ilvl w:val="0"/>
          <w:numId w:val="9"/>
        </w:numPr>
        <w:tabs>
          <w:tab w:val="left" w:pos="993"/>
        </w:tabs>
        <w:spacing w:after="200" w:afterAutospacing="0" w:line="276" w:lineRule="auto"/>
        <w:ind w:left="709" w:right="0" w:firstLine="0"/>
        <w:contextualSpacing/>
      </w:pPr>
      <w:r>
        <w:t>Install</w:t>
      </w:r>
      <w:r>
        <w:t>ing</w:t>
      </w:r>
      <w:r>
        <w:t xml:space="preserve"> 30 additional bike parking hoops (space for 60 bikes) in Queens Parade – scheduled completion prior to end April. </w:t>
      </w:r>
    </w:p>
    <w:p w:rsidR="00DC365E" w:rsidRDefault="00DC365E" w:rsidP="00DC365E">
      <w:pPr>
        <w:pStyle w:val="ListParagraph"/>
        <w:numPr>
          <w:ilvl w:val="0"/>
          <w:numId w:val="9"/>
        </w:numPr>
        <w:tabs>
          <w:tab w:val="left" w:pos="993"/>
        </w:tabs>
        <w:spacing w:after="200" w:afterAutospacing="0" w:line="276" w:lineRule="auto"/>
        <w:ind w:left="709" w:right="0" w:firstLine="0"/>
        <w:contextualSpacing/>
      </w:pPr>
      <w:r>
        <w:t xml:space="preserve">Brand </w:t>
      </w:r>
      <w:r>
        <w:t xml:space="preserve">hoops and shopping bags </w:t>
      </w:r>
      <w:r>
        <w:t>with “Lock, Shop and Latte” signage.</w:t>
      </w:r>
    </w:p>
    <w:p w:rsidR="00DC365E" w:rsidRDefault="00DC365E" w:rsidP="00DC365E">
      <w:pPr>
        <w:pStyle w:val="ListParagraph"/>
        <w:numPr>
          <w:ilvl w:val="0"/>
          <w:numId w:val="9"/>
        </w:numPr>
        <w:tabs>
          <w:tab w:val="left" w:pos="993"/>
        </w:tabs>
        <w:spacing w:after="0" w:afterAutospacing="0"/>
        <w:ind w:left="709" w:firstLine="0"/>
      </w:pPr>
      <w:r>
        <w:t>Direct engagement with bike riders and other shoppers one Saturday morning and one mid-week afternoon (post-3.30pm)</w:t>
      </w:r>
      <w:r>
        <w:t xml:space="preserve"> regarding dismounting behaviours.</w:t>
      </w:r>
    </w:p>
    <w:p w:rsidR="00DC365E" w:rsidRDefault="00DC365E" w:rsidP="00DC365E"/>
    <w:p w:rsidR="00DC365E" w:rsidRPr="00F6498B" w:rsidRDefault="00DC365E" w:rsidP="00DC365E">
      <w:pPr>
        <w:pStyle w:val="ListParagraph"/>
        <w:spacing w:after="0" w:afterAutospacing="0"/>
        <w:ind w:left="709"/>
      </w:pPr>
      <w:r>
        <w:t>BAC feedback welcomed on project plan – to be provided at meeting</w:t>
      </w:r>
      <w:r>
        <w:t>.</w:t>
      </w:r>
    </w:p>
    <w:p w:rsidR="00F6498B" w:rsidRDefault="00F6498B" w:rsidP="00DC365E"/>
    <w:p w:rsidR="00F6498B" w:rsidRDefault="00F6498B" w:rsidP="00F6498B">
      <w:pPr>
        <w:pStyle w:val="ListParagraph"/>
        <w:spacing w:after="0" w:afterAutospacing="0"/>
        <w:ind w:left="709"/>
      </w:pPr>
      <w:r>
        <w:t>Cr</w:t>
      </w:r>
      <w:r w:rsidR="00E358E9">
        <w:t xml:space="preserve"> Misha Coleman</w:t>
      </w:r>
      <w:r w:rsidR="00DC365E">
        <w:t>/Kate</w:t>
      </w:r>
      <w:r w:rsidR="00E358E9">
        <w:t>, 15</w:t>
      </w:r>
      <w:r w:rsidR="00866A52">
        <w:t xml:space="preserve"> minutes, 7:</w:t>
      </w:r>
      <w:r w:rsidR="005E5ED7">
        <w:t>2</w:t>
      </w:r>
      <w:r w:rsidR="00866A52">
        <w:t>5</w:t>
      </w:r>
      <w:r>
        <w:t xml:space="preserve"> – 7:</w:t>
      </w:r>
      <w:r w:rsidR="005E5ED7">
        <w:t>40</w:t>
      </w:r>
      <w:r>
        <w:t>pm</w:t>
      </w:r>
    </w:p>
    <w:p w:rsidR="00F6498B" w:rsidRPr="00F6498B" w:rsidRDefault="00F6498B" w:rsidP="00F6498B">
      <w:pPr>
        <w:pStyle w:val="ListParagraph"/>
        <w:spacing w:after="0" w:afterAutospacing="0"/>
        <w:ind w:left="709"/>
      </w:pPr>
    </w:p>
    <w:p w:rsidR="009F405E" w:rsidRPr="00F6498B" w:rsidRDefault="00F6498B" w:rsidP="009F405E">
      <w:pPr>
        <w:pStyle w:val="ListParagraph"/>
        <w:numPr>
          <w:ilvl w:val="1"/>
          <w:numId w:val="1"/>
        </w:numPr>
        <w:spacing w:after="0" w:afterAutospacing="0"/>
        <w:ind w:left="709" w:hanging="709"/>
      </w:pPr>
      <w:r>
        <w:rPr>
          <w:b/>
        </w:rPr>
        <w:t>G</w:t>
      </w:r>
      <w:r w:rsidR="009F405E" w:rsidRPr="00F6498B">
        <w:rPr>
          <w:b/>
        </w:rPr>
        <w:t>reen Surface Treatment</w:t>
      </w:r>
    </w:p>
    <w:p w:rsidR="00F6498B" w:rsidRDefault="00F6498B" w:rsidP="00F6498B">
      <w:pPr>
        <w:pStyle w:val="ListParagraph"/>
        <w:spacing w:after="0" w:afterAutospacing="0"/>
        <w:ind w:left="709"/>
        <w:rPr>
          <w:b/>
        </w:rPr>
      </w:pPr>
    </w:p>
    <w:p w:rsidR="00F6498B" w:rsidRDefault="00F6498B" w:rsidP="00F6498B">
      <w:pPr>
        <w:pStyle w:val="ListParagraph"/>
        <w:spacing w:after="0" w:afterAutospacing="0"/>
        <w:ind w:left="709"/>
      </w:pPr>
      <w:r w:rsidRPr="00F6498B">
        <w:t>Strategic Tra</w:t>
      </w:r>
      <w:r>
        <w:t xml:space="preserve">nsport has been dealing with two reported incidents in which riders slipped on the corners of </w:t>
      </w:r>
      <w:proofErr w:type="spellStart"/>
      <w:r>
        <w:t>Trenerry</w:t>
      </w:r>
      <w:proofErr w:type="spellEnd"/>
      <w:r>
        <w:t xml:space="preserve"> Crescent (near </w:t>
      </w:r>
      <w:proofErr w:type="spellStart"/>
      <w:r>
        <w:t>Maugie</w:t>
      </w:r>
      <w:proofErr w:type="spellEnd"/>
      <w:r>
        <w:t xml:space="preserve"> St) and Gipps St/Victoria Crescent.</w:t>
      </w:r>
    </w:p>
    <w:p w:rsidR="00F6498B" w:rsidRDefault="00F6498B" w:rsidP="00F6498B">
      <w:pPr>
        <w:pStyle w:val="ListParagraph"/>
        <w:spacing w:after="0" w:afterAutospacing="0"/>
        <w:ind w:left="709"/>
      </w:pPr>
    </w:p>
    <w:p w:rsidR="00F6498B" w:rsidRDefault="00F6498B" w:rsidP="00F6498B">
      <w:pPr>
        <w:pStyle w:val="ListParagraph"/>
        <w:spacing w:after="0" w:afterAutospacing="0"/>
        <w:ind w:left="709"/>
      </w:pPr>
      <w:r>
        <w:t>The slip test done on the surface showed that the treatment at both locations was likely to have contributed to the slips.  We have since resurfaced using a more robus</w:t>
      </w:r>
      <w:r w:rsidR="00FF6DDF">
        <w:t xml:space="preserve">t green treatment and added </w:t>
      </w:r>
      <w:proofErr w:type="spellStart"/>
      <w:r w:rsidR="00FF6DDF">
        <w:t>vib</w:t>
      </w:r>
      <w:r>
        <w:t>raline</w:t>
      </w:r>
      <w:proofErr w:type="spellEnd"/>
      <w:r>
        <w:t xml:space="preserve"> to reduce the incursion into the bike lane at both locations. </w:t>
      </w:r>
    </w:p>
    <w:p w:rsidR="00F6498B" w:rsidRDefault="00F6498B" w:rsidP="00F6498B">
      <w:pPr>
        <w:pStyle w:val="ListParagraph"/>
        <w:spacing w:after="0" w:afterAutospacing="0"/>
        <w:ind w:left="709"/>
      </w:pPr>
    </w:p>
    <w:p w:rsidR="00F6498B" w:rsidRDefault="00F6498B" w:rsidP="00F6498B">
      <w:pPr>
        <w:pStyle w:val="ListParagraph"/>
        <w:spacing w:after="0" w:afterAutospacing="0"/>
        <w:ind w:left="709"/>
      </w:pPr>
      <w:r>
        <w:t xml:space="preserve">In addition to the above immediate works, Council officers have come up with the following </w:t>
      </w:r>
      <w:r w:rsidR="00FF6DDF">
        <w:t>procedure to address future problems:</w:t>
      </w:r>
    </w:p>
    <w:p w:rsidR="00FF6DDF" w:rsidRDefault="00FF6DDF" w:rsidP="00F6498B">
      <w:pPr>
        <w:pStyle w:val="ListParagraph"/>
        <w:spacing w:after="0" w:afterAutospacing="0"/>
        <w:ind w:left="709"/>
      </w:pPr>
    </w:p>
    <w:p w:rsidR="00FF6DDF" w:rsidRDefault="00FF6DDF" w:rsidP="00FF6DDF">
      <w:pPr>
        <w:pStyle w:val="ListParagraph"/>
        <w:numPr>
          <w:ilvl w:val="0"/>
          <w:numId w:val="4"/>
        </w:numPr>
        <w:spacing w:after="0" w:afterAutospacing="0"/>
      </w:pPr>
      <w:r>
        <w:t xml:space="preserve">Audit of </w:t>
      </w:r>
      <w:r w:rsidR="009F0C2E">
        <w:t xml:space="preserve">existing green surface – condition and </w:t>
      </w:r>
      <w:proofErr w:type="spellStart"/>
      <w:r w:rsidR="009F0C2E">
        <w:t>sqm</w:t>
      </w:r>
      <w:proofErr w:type="spellEnd"/>
      <w:r w:rsidR="009F0C2E">
        <w:t>.</w:t>
      </w:r>
    </w:p>
    <w:p w:rsidR="009F0C2E" w:rsidRDefault="009F0C2E" w:rsidP="009F0C2E">
      <w:pPr>
        <w:pStyle w:val="ListParagraph"/>
        <w:numPr>
          <w:ilvl w:val="0"/>
          <w:numId w:val="4"/>
        </w:numPr>
        <w:spacing w:after="0" w:afterAutospacing="0"/>
        <w:ind w:right="0"/>
      </w:pPr>
      <w:r>
        <w:t xml:space="preserve">From the audit work out which sorts of areas need higher priority for inspections – </w:t>
      </w:r>
      <w:proofErr w:type="spellStart"/>
      <w:r>
        <w:t>eg</w:t>
      </w:r>
      <w:proofErr w:type="spellEnd"/>
      <w:r>
        <w:t xml:space="preserve"> on corners? In bike boxes? At intersections.  </w:t>
      </w:r>
    </w:p>
    <w:p w:rsidR="009F0C2E" w:rsidRDefault="009F0C2E" w:rsidP="009F0C2E">
      <w:pPr>
        <w:pStyle w:val="ListParagraph"/>
        <w:numPr>
          <w:ilvl w:val="0"/>
          <w:numId w:val="4"/>
        </w:numPr>
        <w:spacing w:after="0" w:afterAutospacing="0"/>
        <w:ind w:right="0"/>
      </w:pPr>
      <w:r>
        <w:t>How do we assess the state of existing white lines in our current quarterly ride around?</w:t>
      </w:r>
    </w:p>
    <w:p w:rsidR="009F0C2E" w:rsidRDefault="009F0C2E" w:rsidP="009F0C2E">
      <w:pPr>
        <w:pStyle w:val="ListParagraph"/>
        <w:numPr>
          <w:ilvl w:val="0"/>
          <w:numId w:val="4"/>
        </w:numPr>
        <w:spacing w:after="0" w:afterAutospacing="0"/>
        <w:ind w:right="0"/>
      </w:pPr>
      <w:r>
        <w:t xml:space="preserve">What </w:t>
      </w:r>
      <w:proofErr w:type="gramStart"/>
      <w:r>
        <w:t>would a renewal program might</w:t>
      </w:r>
      <w:proofErr w:type="gramEnd"/>
      <w:r>
        <w:t xml:space="preserve"> look like?  How often </w:t>
      </w:r>
      <w:proofErr w:type="gramStart"/>
      <w:r>
        <w:t>does the treatment</w:t>
      </w:r>
      <w:proofErr w:type="gramEnd"/>
      <w:r>
        <w:t xml:space="preserve"> needs to be renewed?</w:t>
      </w:r>
    </w:p>
    <w:p w:rsidR="009F0C2E" w:rsidRDefault="009F0C2E" w:rsidP="00FF6DDF">
      <w:pPr>
        <w:pStyle w:val="ListParagraph"/>
        <w:numPr>
          <w:ilvl w:val="0"/>
          <w:numId w:val="4"/>
        </w:numPr>
        <w:spacing w:after="0" w:afterAutospacing="0"/>
      </w:pPr>
      <w:r>
        <w:t>What are the performance requirements for green treatments?  Likely to be the VicRoads specifications.</w:t>
      </w:r>
    </w:p>
    <w:p w:rsidR="009F0C2E" w:rsidRDefault="009F0C2E" w:rsidP="00FF6DDF">
      <w:pPr>
        <w:pStyle w:val="ListParagraph"/>
        <w:numPr>
          <w:ilvl w:val="0"/>
          <w:numId w:val="4"/>
        </w:numPr>
        <w:spacing w:after="0" w:afterAutospacing="0"/>
      </w:pPr>
      <w:r>
        <w:t>What annual budget allocation needs to be made to the maintenance team to adequately maintain the existing and future green surfaces?</w:t>
      </w:r>
    </w:p>
    <w:p w:rsidR="00FF6DDF" w:rsidRDefault="00FF6DDF" w:rsidP="00FF6DDF"/>
    <w:p w:rsidR="00F6498B" w:rsidRPr="00F6498B" w:rsidRDefault="00F6498B" w:rsidP="00F6498B">
      <w:pPr>
        <w:pStyle w:val="ListParagraph"/>
        <w:spacing w:after="0" w:afterAutospacing="0"/>
        <w:ind w:left="709"/>
      </w:pPr>
      <w:r>
        <w:t>BAC to nominate areas of green surface treatment that needs special attention in the audit by April 29</w:t>
      </w:r>
      <w:r w:rsidRPr="00F6498B">
        <w:rPr>
          <w:vertAlign w:val="superscript"/>
        </w:rPr>
        <w:t>th</w:t>
      </w:r>
      <w:r>
        <w:t xml:space="preserve"> 2014.</w:t>
      </w:r>
    </w:p>
    <w:p w:rsidR="00F6498B" w:rsidRDefault="00F6498B" w:rsidP="00F6498B">
      <w:pPr>
        <w:pStyle w:val="ListParagraph"/>
        <w:spacing w:after="0" w:afterAutospacing="0"/>
        <w:ind w:left="709"/>
        <w:rPr>
          <w:b/>
        </w:rPr>
      </w:pPr>
    </w:p>
    <w:p w:rsidR="00C61E33" w:rsidRPr="009F405E" w:rsidRDefault="00F6498B" w:rsidP="00C61E33">
      <w:pPr>
        <w:pStyle w:val="ListParagraph"/>
        <w:spacing w:after="0" w:afterAutospacing="0"/>
        <w:ind w:left="709"/>
      </w:pPr>
      <w:r w:rsidRPr="00F6498B">
        <w:t xml:space="preserve">Kate, </w:t>
      </w:r>
      <w:r w:rsidR="00E358E9">
        <w:t>10</w:t>
      </w:r>
      <w:r w:rsidRPr="00F6498B">
        <w:t xml:space="preserve"> minutes, 7:</w:t>
      </w:r>
      <w:r w:rsidR="005E5ED7">
        <w:t>40 – 7:5</w:t>
      </w:r>
      <w:r w:rsidR="00866A52">
        <w:t>0</w:t>
      </w:r>
      <w:r w:rsidRPr="00F6498B">
        <w:t>pm</w:t>
      </w:r>
      <w:bookmarkStart w:id="0" w:name="_GoBack"/>
      <w:bookmarkEnd w:id="0"/>
    </w:p>
    <w:p w:rsidR="009F405E" w:rsidRPr="007D1054" w:rsidRDefault="007D1054" w:rsidP="009F405E">
      <w:pPr>
        <w:pStyle w:val="ListParagraph"/>
        <w:numPr>
          <w:ilvl w:val="1"/>
          <w:numId w:val="1"/>
        </w:numPr>
        <w:spacing w:after="0" w:afterAutospacing="0"/>
        <w:ind w:left="709" w:hanging="709"/>
        <w:rPr>
          <w:b/>
        </w:rPr>
      </w:pPr>
      <w:r w:rsidRPr="007D1054">
        <w:rPr>
          <w:b/>
        </w:rPr>
        <w:lastRenderedPageBreak/>
        <w:t>Ride 2 School Summary</w:t>
      </w:r>
    </w:p>
    <w:p w:rsidR="009F405E" w:rsidRDefault="009F405E" w:rsidP="009F405E">
      <w:pPr>
        <w:pStyle w:val="PlainText"/>
        <w:rPr>
          <w:rFonts w:ascii="Arial" w:hAnsi="Arial" w:cs="Arial"/>
          <w:b/>
          <w:color w:val="auto"/>
          <w:sz w:val="22"/>
          <w:szCs w:val="22"/>
        </w:rPr>
      </w:pPr>
    </w:p>
    <w:p w:rsidR="00E358E9" w:rsidRDefault="00E358E9" w:rsidP="00E358E9">
      <w:pPr>
        <w:ind w:left="709"/>
      </w:pPr>
      <w:proofErr w:type="gramStart"/>
      <w:r>
        <w:t>Ride2School Day celebrations at Trinity Primary School (Richmond) and Princes Hill Primary School on Wednesday 19 March.</w:t>
      </w:r>
      <w:proofErr w:type="gramEnd"/>
      <w:r>
        <w:t xml:space="preserve"> Support was also provided to Collingwood College in the form of maps and delivery and installation of additional bike parking on the morning.</w:t>
      </w:r>
    </w:p>
    <w:p w:rsidR="00E358E9" w:rsidRDefault="00E358E9" w:rsidP="00E358E9">
      <w:pPr>
        <w:ind w:left="709"/>
      </w:pPr>
    </w:p>
    <w:p w:rsidR="00E358E9" w:rsidRDefault="00E358E9" w:rsidP="00E358E9">
      <w:pPr>
        <w:ind w:left="709"/>
      </w:pPr>
      <w:r>
        <w:t xml:space="preserve">Councillors and Council officers attended both Trinity Primary School (Richmond) and Princes Hill Primary School events to reward the children and parents and validate their efforts. </w:t>
      </w:r>
    </w:p>
    <w:p w:rsidR="00E358E9" w:rsidRDefault="00E358E9" w:rsidP="00E358E9">
      <w:pPr>
        <w:ind w:left="709"/>
      </w:pPr>
    </w:p>
    <w:p w:rsidR="00E358E9" w:rsidRDefault="00E358E9" w:rsidP="00E358E9">
      <w:pPr>
        <w:ind w:left="709"/>
      </w:pPr>
      <w:r>
        <w:t xml:space="preserve">All riders received an “I heart my bike” bell and all other active transport users were rewarded with a cute shoe bag-tag. There was an enthusiastic uptake of the rewards and it is hoped that they become desirable badges of the “sustainable transport club”. </w:t>
      </w:r>
    </w:p>
    <w:p w:rsidR="00E358E9" w:rsidRDefault="00E358E9" w:rsidP="00E358E9">
      <w:pPr>
        <w:ind w:left="709"/>
      </w:pPr>
    </w:p>
    <w:p w:rsidR="00E358E9" w:rsidRDefault="00E358E9" w:rsidP="00E358E9">
      <w:pPr>
        <w:ind w:left="709"/>
      </w:pPr>
      <w:r>
        <w:t>Here are the mode-share results from the two schools on Ride2School Day 2014:</w:t>
      </w:r>
    </w:p>
    <w:p w:rsidR="00E358E9" w:rsidRDefault="00E358E9" w:rsidP="00E358E9">
      <w:pPr>
        <w:ind w:left="709"/>
      </w:pPr>
    </w:p>
    <w:tbl>
      <w:tblPr>
        <w:tblW w:w="88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993"/>
        <w:gridCol w:w="1366"/>
        <w:gridCol w:w="1894"/>
        <w:gridCol w:w="850"/>
        <w:gridCol w:w="1586"/>
      </w:tblGrid>
      <w:tr w:rsidR="00E358E9" w:rsidTr="008F29FB">
        <w:trPr>
          <w:trHeight w:val="300"/>
        </w:trPr>
        <w:tc>
          <w:tcPr>
            <w:tcW w:w="2126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E9" w:rsidRPr="00E358E9" w:rsidRDefault="00E358E9" w:rsidP="00E358E9">
            <w:pPr>
              <w:ind w:left="176"/>
              <w:rPr>
                <w:rFonts w:ascii="Calibri" w:eastAsiaTheme="minorHAnsi" w:hAnsi="Calibri" w:cs="Calibri"/>
                <w:b/>
                <w:color w:val="000000"/>
                <w:szCs w:val="22"/>
                <w:lang w:eastAsia="en-AU"/>
              </w:rPr>
            </w:pPr>
            <w:r w:rsidRPr="00E358E9">
              <w:rPr>
                <w:b/>
                <w:color w:val="000000"/>
                <w:lang w:eastAsia="en-AU"/>
              </w:rPr>
              <w:t>Princes Hill PS</w:t>
            </w:r>
          </w:p>
        </w:tc>
        <w:tc>
          <w:tcPr>
            <w:tcW w:w="993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8E9" w:rsidRPr="002C26BC" w:rsidRDefault="00E358E9" w:rsidP="00E358E9">
            <w:pPr>
              <w:ind w:left="176"/>
              <w:rPr>
                <w:rFonts w:ascii="Times New Roman" w:hAnsi="Times New Roman"/>
                <w:b/>
                <w:sz w:val="20"/>
                <w:lang w:eastAsia="en-AU"/>
              </w:rPr>
            </w:pPr>
            <w:r w:rsidRPr="002C26BC">
              <w:rPr>
                <w:rFonts w:ascii="Times New Roman" w:hAnsi="Times New Roman"/>
                <w:b/>
                <w:sz w:val="20"/>
                <w:lang w:eastAsia="en-AU"/>
              </w:rPr>
              <w:t>#</w:t>
            </w:r>
          </w:p>
        </w:tc>
        <w:tc>
          <w:tcPr>
            <w:tcW w:w="1366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8E9" w:rsidRPr="002C26BC" w:rsidRDefault="00E358E9" w:rsidP="00E358E9">
            <w:pPr>
              <w:rPr>
                <w:rFonts w:ascii="Calibri" w:eastAsiaTheme="minorHAnsi" w:hAnsi="Calibri" w:cs="Calibri"/>
                <w:b/>
                <w:color w:val="000000"/>
                <w:szCs w:val="22"/>
                <w:lang w:eastAsia="en-AU"/>
              </w:rPr>
            </w:pPr>
            <w:r w:rsidRPr="002C26BC">
              <w:rPr>
                <w:b/>
                <w:color w:val="000000"/>
                <w:lang w:eastAsia="en-AU"/>
              </w:rPr>
              <w:t>% of population</w:t>
            </w:r>
          </w:p>
        </w:tc>
        <w:tc>
          <w:tcPr>
            <w:tcW w:w="1894" w:type="dxa"/>
            <w:shd w:val="clear" w:color="auto" w:fill="FBD4B4" w:themeFill="accent6" w:themeFillTint="66"/>
            <w:vAlign w:val="bottom"/>
          </w:tcPr>
          <w:p w:rsidR="00E358E9" w:rsidRPr="002C26BC" w:rsidRDefault="00E358E9" w:rsidP="00E358E9">
            <w:pPr>
              <w:ind w:left="193"/>
              <w:rPr>
                <w:rFonts w:ascii="Times New Roman" w:hAnsi="Times New Roman"/>
                <w:b/>
                <w:sz w:val="20"/>
                <w:lang w:eastAsia="en-AU"/>
              </w:rPr>
            </w:pPr>
            <w:r w:rsidRPr="002C26BC">
              <w:rPr>
                <w:b/>
                <w:color w:val="000000"/>
                <w:lang w:eastAsia="en-AU"/>
              </w:rPr>
              <w:t>Trinity PS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E358E9" w:rsidRPr="002C26BC" w:rsidRDefault="002C26BC" w:rsidP="002C26BC">
            <w:pPr>
              <w:ind w:left="142"/>
              <w:rPr>
                <w:rFonts w:ascii="Times New Roman" w:hAnsi="Times New Roman"/>
                <w:b/>
                <w:sz w:val="20"/>
                <w:lang w:eastAsia="en-AU"/>
              </w:rPr>
            </w:pPr>
            <w:r w:rsidRPr="002C26BC">
              <w:rPr>
                <w:rFonts w:ascii="Times New Roman" w:hAnsi="Times New Roman"/>
                <w:b/>
                <w:sz w:val="20"/>
                <w:lang w:eastAsia="en-AU"/>
              </w:rPr>
              <w:t>#</w:t>
            </w:r>
          </w:p>
        </w:tc>
        <w:tc>
          <w:tcPr>
            <w:tcW w:w="1586" w:type="dxa"/>
            <w:shd w:val="clear" w:color="auto" w:fill="FBD4B4" w:themeFill="accent6" w:themeFillTint="66"/>
            <w:vAlign w:val="bottom"/>
          </w:tcPr>
          <w:p w:rsidR="00E358E9" w:rsidRPr="002C26BC" w:rsidRDefault="00E358E9" w:rsidP="00E358E9">
            <w:pPr>
              <w:ind w:left="283"/>
              <w:rPr>
                <w:rFonts w:ascii="Calibri" w:eastAsiaTheme="minorHAnsi" w:hAnsi="Calibri" w:cs="Calibri"/>
                <w:b/>
                <w:color w:val="000000"/>
                <w:szCs w:val="22"/>
                <w:lang w:eastAsia="en-AU"/>
              </w:rPr>
            </w:pPr>
            <w:r w:rsidRPr="002C26BC">
              <w:rPr>
                <w:b/>
                <w:color w:val="000000"/>
                <w:lang w:eastAsia="en-AU"/>
              </w:rPr>
              <w:t>% of pop</w:t>
            </w:r>
            <w:r w:rsidR="002C26BC" w:rsidRPr="002C26BC">
              <w:rPr>
                <w:b/>
                <w:color w:val="000000"/>
                <w:lang w:eastAsia="en-AU"/>
              </w:rPr>
              <w:t>ulation</w:t>
            </w:r>
          </w:p>
        </w:tc>
      </w:tr>
      <w:tr w:rsidR="00E358E9" w:rsidTr="008F29FB">
        <w:trPr>
          <w:trHeight w:val="300"/>
        </w:trPr>
        <w:tc>
          <w:tcPr>
            <w:tcW w:w="2126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E9" w:rsidRDefault="00E358E9" w:rsidP="00E358E9">
            <w:pPr>
              <w:ind w:left="176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Bike/skate/scoot</w:t>
            </w:r>
          </w:p>
        </w:tc>
        <w:tc>
          <w:tcPr>
            <w:tcW w:w="993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8E9" w:rsidRDefault="00E358E9" w:rsidP="00E358E9">
            <w:pPr>
              <w:ind w:left="176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157</w:t>
            </w:r>
          </w:p>
        </w:tc>
        <w:tc>
          <w:tcPr>
            <w:tcW w:w="1366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8E9" w:rsidRDefault="00E358E9" w:rsidP="00E358E9">
            <w:pPr>
              <w:ind w:left="709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36%</w:t>
            </w:r>
          </w:p>
        </w:tc>
        <w:tc>
          <w:tcPr>
            <w:tcW w:w="1894" w:type="dxa"/>
            <w:shd w:val="clear" w:color="auto" w:fill="FBD4B4" w:themeFill="accent6" w:themeFillTint="66"/>
            <w:vAlign w:val="bottom"/>
          </w:tcPr>
          <w:p w:rsidR="00E358E9" w:rsidRDefault="00E358E9" w:rsidP="00E358E9">
            <w:pPr>
              <w:ind w:left="193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Bike/skate/scoot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E358E9" w:rsidRDefault="00E358E9" w:rsidP="002C26BC">
            <w:pPr>
              <w:ind w:left="142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56</w:t>
            </w:r>
          </w:p>
        </w:tc>
        <w:tc>
          <w:tcPr>
            <w:tcW w:w="1586" w:type="dxa"/>
            <w:shd w:val="clear" w:color="auto" w:fill="FBD4B4" w:themeFill="accent6" w:themeFillTint="66"/>
            <w:vAlign w:val="bottom"/>
          </w:tcPr>
          <w:p w:rsidR="00E358E9" w:rsidRDefault="00E358E9" w:rsidP="00E358E9">
            <w:pPr>
              <w:ind w:left="709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25%</w:t>
            </w:r>
          </w:p>
        </w:tc>
      </w:tr>
      <w:tr w:rsidR="00E358E9" w:rsidTr="008F29FB">
        <w:trPr>
          <w:trHeight w:val="300"/>
        </w:trPr>
        <w:tc>
          <w:tcPr>
            <w:tcW w:w="2126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E9" w:rsidRDefault="00E358E9" w:rsidP="00E358E9">
            <w:pPr>
              <w:ind w:left="176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Walk</w:t>
            </w:r>
          </w:p>
        </w:tc>
        <w:tc>
          <w:tcPr>
            <w:tcW w:w="993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8E9" w:rsidRDefault="00E358E9" w:rsidP="00E358E9">
            <w:pPr>
              <w:ind w:left="176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186</w:t>
            </w:r>
          </w:p>
        </w:tc>
        <w:tc>
          <w:tcPr>
            <w:tcW w:w="1366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8E9" w:rsidRDefault="00E358E9" w:rsidP="00E358E9">
            <w:pPr>
              <w:ind w:left="709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42%</w:t>
            </w:r>
          </w:p>
        </w:tc>
        <w:tc>
          <w:tcPr>
            <w:tcW w:w="1894" w:type="dxa"/>
            <w:shd w:val="clear" w:color="auto" w:fill="FBD4B4" w:themeFill="accent6" w:themeFillTint="66"/>
            <w:vAlign w:val="bottom"/>
          </w:tcPr>
          <w:p w:rsidR="00E358E9" w:rsidRDefault="00E358E9" w:rsidP="00E358E9">
            <w:pPr>
              <w:ind w:left="193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Walk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E358E9" w:rsidRDefault="00E358E9" w:rsidP="002C26BC">
            <w:pPr>
              <w:ind w:left="142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98</w:t>
            </w:r>
          </w:p>
        </w:tc>
        <w:tc>
          <w:tcPr>
            <w:tcW w:w="1586" w:type="dxa"/>
            <w:shd w:val="clear" w:color="auto" w:fill="FBD4B4" w:themeFill="accent6" w:themeFillTint="66"/>
            <w:vAlign w:val="bottom"/>
          </w:tcPr>
          <w:p w:rsidR="00E358E9" w:rsidRDefault="00E358E9" w:rsidP="00E358E9">
            <w:pPr>
              <w:ind w:left="709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45%</w:t>
            </w:r>
          </w:p>
        </w:tc>
      </w:tr>
      <w:tr w:rsidR="00E358E9" w:rsidTr="008F29FB">
        <w:trPr>
          <w:trHeight w:val="300"/>
        </w:trPr>
        <w:tc>
          <w:tcPr>
            <w:tcW w:w="2126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E9" w:rsidRDefault="00E358E9" w:rsidP="00E358E9">
            <w:pPr>
              <w:ind w:left="176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PT</w:t>
            </w:r>
          </w:p>
        </w:tc>
        <w:tc>
          <w:tcPr>
            <w:tcW w:w="993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8E9" w:rsidRDefault="00E358E9" w:rsidP="00E358E9">
            <w:pPr>
              <w:ind w:left="176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2</w:t>
            </w:r>
          </w:p>
        </w:tc>
        <w:tc>
          <w:tcPr>
            <w:tcW w:w="1366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8E9" w:rsidRDefault="00E358E9" w:rsidP="00E358E9">
            <w:pPr>
              <w:ind w:left="709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0%</w:t>
            </w:r>
          </w:p>
        </w:tc>
        <w:tc>
          <w:tcPr>
            <w:tcW w:w="1894" w:type="dxa"/>
            <w:shd w:val="clear" w:color="auto" w:fill="FBD4B4" w:themeFill="accent6" w:themeFillTint="66"/>
            <w:vAlign w:val="bottom"/>
          </w:tcPr>
          <w:p w:rsidR="00E358E9" w:rsidRDefault="00E358E9" w:rsidP="00E358E9">
            <w:pPr>
              <w:ind w:left="193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PT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E358E9" w:rsidRDefault="00E358E9" w:rsidP="002C26BC">
            <w:pPr>
              <w:ind w:left="142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1</w:t>
            </w:r>
          </w:p>
        </w:tc>
        <w:tc>
          <w:tcPr>
            <w:tcW w:w="1586" w:type="dxa"/>
            <w:shd w:val="clear" w:color="auto" w:fill="FBD4B4" w:themeFill="accent6" w:themeFillTint="66"/>
            <w:vAlign w:val="bottom"/>
          </w:tcPr>
          <w:p w:rsidR="00E358E9" w:rsidRDefault="00E358E9" w:rsidP="00E358E9">
            <w:pPr>
              <w:ind w:left="709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0%</w:t>
            </w:r>
          </w:p>
        </w:tc>
      </w:tr>
      <w:tr w:rsidR="00E358E9" w:rsidTr="008F29FB">
        <w:trPr>
          <w:trHeight w:val="300"/>
        </w:trPr>
        <w:tc>
          <w:tcPr>
            <w:tcW w:w="2126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E9" w:rsidRDefault="00E358E9" w:rsidP="00E358E9">
            <w:pPr>
              <w:ind w:left="176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Car</w:t>
            </w:r>
          </w:p>
        </w:tc>
        <w:tc>
          <w:tcPr>
            <w:tcW w:w="993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8E9" w:rsidRDefault="00E358E9" w:rsidP="00E358E9">
            <w:pPr>
              <w:ind w:left="176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94</w:t>
            </w:r>
          </w:p>
        </w:tc>
        <w:tc>
          <w:tcPr>
            <w:tcW w:w="1366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8E9" w:rsidRDefault="00E358E9" w:rsidP="00E358E9">
            <w:pPr>
              <w:ind w:left="709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21%</w:t>
            </w:r>
          </w:p>
        </w:tc>
        <w:tc>
          <w:tcPr>
            <w:tcW w:w="1894" w:type="dxa"/>
            <w:shd w:val="clear" w:color="auto" w:fill="FBD4B4" w:themeFill="accent6" w:themeFillTint="66"/>
            <w:vAlign w:val="bottom"/>
          </w:tcPr>
          <w:p w:rsidR="00E358E9" w:rsidRDefault="00E358E9" w:rsidP="00E358E9">
            <w:pPr>
              <w:ind w:left="193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Car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E358E9" w:rsidRDefault="00E358E9" w:rsidP="002C26BC">
            <w:pPr>
              <w:ind w:left="142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65</w:t>
            </w:r>
          </w:p>
        </w:tc>
        <w:tc>
          <w:tcPr>
            <w:tcW w:w="1586" w:type="dxa"/>
            <w:shd w:val="clear" w:color="auto" w:fill="FBD4B4" w:themeFill="accent6" w:themeFillTint="66"/>
            <w:vAlign w:val="bottom"/>
          </w:tcPr>
          <w:p w:rsidR="00E358E9" w:rsidRDefault="00E358E9" w:rsidP="00E358E9">
            <w:pPr>
              <w:ind w:left="709"/>
              <w:jc w:val="right"/>
              <w:rPr>
                <w:rFonts w:ascii="Calibri" w:eastAsiaTheme="minorHAnsi" w:hAnsi="Calibri" w:cs="Calibri"/>
                <w:color w:val="000000"/>
                <w:szCs w:val="22"/>
                <w:lang w:eastAsia="en-AU"/>
              </w:rPr>
            </w:pPr>
            <w:r>
              <w:rPr>
                <w:color w:val="000000"/>
                <w:lang w:eastAsia="en-AU"/>
              </w:rPr>
              <w:t>30%</w:t>
            </w:r>
          </w:p>
        </w:tc>
      </w:tr>
      <w:tr w:rsidR="00E358E9" w:rsidTr="008F29FB">
        <w:trPr>
          <w:trHeight w:val="300"/>
        </w:trPr>
        <w:tc>
          <w:tcPr>
            <w:tcW w:w="2126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8E9" w:rsidRPr="002C26BC" w:rsidRDefault="00E358E9" w:rsidP="00E358E9">
            <w:pPr>
              <w:ind w:left="176"/>
              <w:rPr>
                <w:rFonts w:ascii="Calibri" w:eastAsiaTheme="minorHAnsi" w:hAnsi="Calibri" w:cs="Calibri"/>
                <w:b/>
                <w:color w:val="000000"/>
                <w:szCs w:val="22"/>
                <w:lang w:eastAsia="en-AU"/>
              </w:rPr>
            </w:pPr>
            <w:r w:rsidRPr="002C26BC">
              <w:rPr>
                <w:b/>
                <w:color w:val="000000"/>
                <w:lang w:eastAsia="en-AU"/>
              </w:rPr>
              <w:t>Total attendance</w:t>
            </w:r>
          </w:p>
        </w:tc>
        <w:tc>
          <w:tcPr>
            <w:tcW w:w="993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8E9" w:rsidRPr="002C26BC" w:rsidRDefault="00E358E9" w:rsidP="00E358E9">
            <w:pPr>
              <w:ind w:left="176"/>
              <w:jc w:val="right"/>
              <w:rPr>
                <w:rFonts w:ascii="Calibri" w:eastAsiaTheme="minorHAnsi" w:hAnsi="Calibri" w:cs="Calibri"/>
                <w:b/>
                <w:color w:val="000000"/>
                <w:szCs w:val="22"/>
                <w:lang w:eastAsia="en-AU"/>
              </w:rPr>
            </w:pPr>
            <w:r w:rsidRPr="002C26BC">
              <w:rPr>
                <w:b/>
                <w:color w:val="000000"/>
                <w:lang w:eastAsia="en-AU"/>
              </w:rPr>
              <w:t>439</w:t>
            </w:r>
          </w:p>
        </w:tc>
        <w:tc>
          <w:tcPr>
            <w:tcW w:w="1366" w:type="dxa"/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8E9" w:rsidRPr="002C26BC" w:rsidRDefault="00E358E9" w:rsidP="00E358E9">
            <w:pPr>
              <w:ind w:left="709"/>
              <w:rPr>
                <w:rFonts w:ascii="Times New Roman" w:hAnsi="Times New Roman"/>
                <w:b/>
                <w:sz w:val="20"/>
                <w:lang w:eastAsia="en-AU"/>
              </w:rPr>
            </w:pPr>
          </w:p>
        </w:tc>
        <w:tc>
          <w:tcPr>
            <w:tcW w:w="1894" w:type="dxa"/>
            <w:shd w:val="clear" w:color="auto" w:fill="FBD4B4" w:themeFill="accent6" w:themeFillTint="66"/>
            <w:vAlign w:val="bottom"/>
          </w:tcPr>
          <w:p w:rsidR="00E358E9" w:rsidRPr="002C26BC" w:rsidRDefault="00E358E9" w:rsidP="00E358E9">
            <w:pPr>
              <w:ind w:left="193"/>
              <w:rPr>
                <w:rFonts w:ascii="Calibri" w:eastAsiaTheme="minorHAnsi" w:hAnsi="Calibri" w:cs="Calibri"/>
                <w:b/>
                <w:color w:val="000000"/>
                <w:szCs w:val="22"/>
                <w:lang w:eastAsia="en-AU"/>
              </w:rPr>
            </w:pPr>
            <w:r w:rsidRPr="002C26BC">
              <w:rPr>
                <w:b/>
                <w:color w:val="000000"/>
                <w:lang w:eastAsia="en-AU"/>
              </w:rPr>
              <w:t>Total attendance</w:t>
            </w:r>
          </w:p>
        </w:tc>
        <w:tc>
          <w:tcPr>
            <w:tcW w:w="850" w:type="dxa"/>
            <w:shd w:val="clear" w:color="auto" w:fill="FBD4B4" w:themeFill="accent6" w:themeFillTint="66"/>
            <w:vAlign w:val="bottom"/>
          </w:tcPr>
          <w:p w:rsidR="00E358E9" w:rsidRPr="002C26BC" w:rsidRDefault="00E358E9" w:rsidP="002C26BC">
            <w:pPr>
              <w:ind w:left="142"/>
              <w:jc w:val="right"/>
              <w:rPr>
                <w:rFonts w:ascii="Calibri" w:eastAsiaTheme="minorHAnsi" w:hAnsi="Calibri" w:cs="Calibri"/>
                <w:b/>
                <w:color w:val="000000"/>
                <w:szCs w:val="22"/>
                <w:lang w:eastAsia="en-AU"/>
              </w:rPr>
            </w:pPr>
            <w:r w:rsidRPr="002C26BC">
              <w:rPr>
                <w:b/>
                <w:color w:val="000000"/>
                <w:lang w:eastAsia="en-AU"/>
              </w:rPr>
              <w:t>220</w:t>
            </w:r>
          </w:p>
        </w:tc>
        <w:tc>
          <w:tcPr>
            <w:tcW w:w="1586" w:type="dxa"/>
            <w:shd w:val="clear" w:color="auto" w:fill="FBD4B4" w:themeFill="accent6" w:themeFillTint="66"/>
            <w:vAlign w:val="bottom"/>
          </w:tcPr>
          <w:p w:rsidR="00E358E9" w:rsidRPr="002C26BC" w:rsidRDefault="00E358E9" w:rsidP="00E358E9">
            <w:pPr>
              <w:ind w:left="709"/>
              <w:jc w:val="right"/>
              <w:rPr>
                <w:rFonts w:ascii="Calibri" w:eastAsiaTheme="minorHAnsi" w:hAnsi="Calibri" w:cs="Calibri"/>
                <w:b/>
                <w:color w:val="000000"/>
                <w:szCs w:val="22"/>
                <w:lang w:eastAsia="en-AU"/>
              </w:rPr>
            </w:pPr>
          </w:p>
        </w:tc>
      </w:tr>
    </w:tbl>
    <w:p w:rsidR="00E358E9" w:rsidRDefault="00E358E9" w:rsidP="00E358E9">
      <w:pPr>
        <w:ind w:left="709"/>
        <w:rPr>
          <w:rFonts w:ascii="Calibri" w:eastAsiaTheme="minorHAnsi" w:hAnsi="Calibri" w:cs="Calibri"/>
          <w:szCs w:val="22"/>
        </w:rPr>
      </w:pPr>
    </w:p>
    <w:p w:rsidR="00E37C5C" w:rsidRDefault="00E37C5C" w:rsidP="00E37C5C">
      <w:pPr>
        <w:pStyle w:val="NormalWeb"/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9F405E" w:rsidRDefault="009F405E" w:rsidP="009F405E">
      <w:pPr>
        <w:rPr>
          <w:rFonts w:cs="Arial"/>
          <w:b/>
        </w:rPr>
      </w:pPr>
      <w:r w:rsidRPr="0083384F">
        <w:rPr>
          <w:rFonts w:cs="Arial"/>
          <w:b/>
        </w:rPr>
        <w:t xml:space="preserve">Next meeting – </w:t>
      </w:r>
    </w:p>
    <w:p w:rsidR="009F405E" w:rsidRPr="00B92927" w:rsidRDefault="009F405E" w:rsidP="009F405E">
      <w:pPr>
        <w:rPr>
          <w:rFonts w:cs="Arial"/>
        </w:rPr>
      </w:pPr>
      <w:r>
        <w:rPr>
          <w:rFonts w:cs="Arial"/>
        </w:rPr>
        <w:t>June 10</w:t>
      </w:r>
      <w:r w:rsidRPr="00B92927">
        <w:rPr>
          <w:rFonts w:cs="Arial"/>
        </w:rPr>
        <w:t xml:space="preserve"> 2014</w:t>
      </w:r>
    </w:p>
    <w:p w:rsidR="009F405E" w:rsidRPr="0083384F" w:rsidRDefault="009F405E" w:rsidP="009F405E">
      <w:pPr>
        <w:rPr>
          <w:rFonts w:cs="Arial"/>
        </w:rPr>
      </w:pPr>
      <w:r w:rsidRPr="0083384F">
        <w:rPr>
          <w:rFonts w:cs="Arial"/>
        </w:rPr>
        <w:t>Fitzroy Town Hall, 6.30</w:t>
      </w:r>
      <w:r>
        <w:rPr>
          <w:rFonts w:cs="Arial"/>
        </w:rPr>
        <w:t>–8.0</w:t>
      </w:r>
      <w:r w:rsidRPr="0083384F">
        <w:rPr>
          <w:rFonts w:cs="Arial"/>
        </w:rPr>
        <w:t xml:space="preserve">0pm  </w:t>
      </w:r>
    </w:p>
    <w:p w:rsidR="009F405E" w:rsidRDefault="009F405E" w:rsidP="009F405E">
      <w:r w:rsidRPr="0083384F">
        <w:rPr>
          <w:rFonts w:cs="Arial"/>
        </w:rPr>
        <w:t>Mayor’s Room</w:t>
      </w:r>
    </w:p>
    <w:p w:rsidR="00476B8C" w:rsidRDefault="00476B8C"/>
    <w:sectPr w:rsidR="00476B8C" w:rsidSect="001D6E4D">
      <w:headerReference w:type="default" r:id="rId9"/>
      <w:footerReference w:type="default" r:id="rId10"/>
      <w:pgSz w:w="11906" w:h="16838" w:code="9"/>
      <w:pgMar w:top="2552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5E" w:rsidRDefault="009F405E" w:rsidP="009F405E">
      <w:r>
        <w:separator/>
      </w:r>
    </w:p>
  </w:endnote>
  <w:endnote w:type="continuationSeparator" w:id="0">
    <w:p w:rsidR="009F405E" w:rsidRDefault="009F405E" w:rsidP="009F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4D" w:rsidRPr="004B6D2A" w:rsidRDefault="00750C89">
    <w:pPr>
      <w:pStyle w:val="Footer"/>
      <w:pBdr>
        <w:top w:val="single" w:sz="4" w:space="1" w:color="auto"/>
      </w:pBdr>
      <w:rPr>
        <w:rFonts w:cs="Arial"/>
        <w:sz w:val="20"/>
      </w:rPr>
    </w:pPr>
    <w:r>
      <w:rPr>
        <w:rStyle w:val="PageNumber"/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  <w:sz w:val="20"/>
      </w:rPr>
      <w:tab/>
    </w:r>
    <w:r w:rsidRPr="004B6D2A">
      <w:rPr>
        <w:rStyle w:val="PageNumber"/>
        <w:rFonts w:cs="Arial"/>
        <w:sz w:val="20"/>
      </w:rPr>
      <w:fldChar w:fldCharType="begin"/>
    </w:r>
    <w:r w:rsidRPr="004B6D2A">
      <w:rPr>
        <w:rStyle w:val="PageNumber"/>
        <w:rFonts w:cs="Arial"/>
        <w:sz w:val="20"/>
      </w:rPr>
      <w:instrText xml:space="preserve"> PAGE </w:instrText>
    </w:r>
    <w:r w:rsidRPr="004B6D2A">
      <w:rPr>
        <w:rStyle w:val="PageNumber"/>
        <w:rFonts w:cs="Arial"/>
        <w:sz w:val="20"/>
      </w:rPr>
      <w:fldChar w:fldCharType="separate"/>
    </w:r>
    <w:r w:rsidR="00C61E33">
      <w:rPr>
        <w:rStyle w:val="PageNumber"/>
        <w:rFonts w:cs="Arial"/>
        <w:noProof/>
        <w:sz w:val="20"/>
      </w:rPr>
      <w:t>2</w:t>
    </w:r>
    <w:r w:rsidRPr="004B6D2A">
      <w:rPr>
        <w:rStyle w:val="PageNumber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5E" w:rsidRDefault="009F405E" w:rsidP="009F405E">
      <w:r>
        <w:separator/>
      </w:r>
    </w:p>
  </w:footnote>
  <w:footnote w:type="continuationSeparator" w:id="0">
    <w:p w:rsidR="009F405E" w:rsidRDefault="009F405E" w:rsidP="009F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850"/>
      <w:gridCol w:w="6634"/>
    </w:tblGrid>
    <w:tr w:rsidR="001D6E4D" w:rsidRPr="001A4CCA">
      <w:tc>
        <w:tcPr>
          <w:tcW w:w="1850" w:type="dxa"/>
        </w:tcPr>
        <w:p w:rsidR="001D6E4D" w:rsidRDefault="00750C89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6FAF3259" wp14:editId="2F2B6EDA">
                <wp:extent cx="866775" cy="752475"/>
                <wp:effectExtent l="0" t="0" r="9525" b="9525"/>
                <wp:docPr id="1" name="Picture 1" descr="yar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ar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</w:tcPr>
        <w:p w:rsidR="001D6E4D" w:rsidRPr="001A4CCA" w:rsidRDefault="00C61E33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1D6E4D" w:rsidRPr="001A4CCA" w:rsidRDefault="00C61E33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1D6E4D" w:rsidRPr="001A4CCA" w:rsidRDefault="00750C89">
          <w:pPr>
            <w:pStyle w:val="Header"/>
            <w:jc w:val="right"/>
            <w:rPr>
              <w:rFonts w:cs="Arial"/>
              <w:sz w:val="18"/>
              <w:szCs w:val="18"/>
            </w:rPr>
          </w:pPr>
          <w:r w:rsidRPr="001A4CCA">
            <w:rPr>
              <w:rFonts w:cs="Arial"/>
              <w:sz w:val="18"/>
              <w:szCs w:val="18"/>
            </w:rPr>
            <w:t>City of Yarra Bicycle Advisory Committee</w:t>
          </w:r>
        </w:p>
        <w:p w:rsidR="001D6E4D" w:rsidRPr="001A4CCA" w:rsidRDefault="009F405E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15 April</w:t>
          </w:r>
          <w:r w:rsidR="00750C89">
            <w:rPr>
              <w:rFonts w:cs="Arial"/>
              <w:sz w:val="18"/>
              <w:szCs w:val="18"/>
            </w:rPr>
            <w:t xml:space="preserve"> 2014</w:t>
          </w:r>
        </w:p>
        <w:p w:rsidR="001D6E4D" w:rsidRDefault="00C61E33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5F0A1F" w:rsidRPr="001A4CCA" w:rsidRDefault="00750C89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Your feedback, participation and concerns are important and welcome.</w:t>
          </w:r>
        </w:p>
      </w:tc>
    </w:tr>
  </w:tbl>
  <w:p w:rsidR="001D6E4D" w:rsidRDefault="00C61E33" w:rsidP="001D6E4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94D"/>
    <w:multiLevelType w:val="hybridMultilevel"/>
    <w:tmpl w:val="A2CA8A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2241"/>
    <w:multiLevelType w:val="hybridMultilevel"/>
    <w:tmpl w:val="B72477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E5ACA"/>
    <w:multiLevelType w:val="hybridMultilevel"/>
    <w:tmpl w:val="834C5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F7A0F"/>
    <w:multiLevelType w:val="hybridMultilevel"/>
    <w:tmpl w:val="14FE9B2C"/>
    <w:lvl w:ilvl="0" w:tplc="4886A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C0575D"/>
    <w:multiLevelType w:val="hybridMultilevel"/>
    <w:tmpl w:val="8206A3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22285"/>
    <w:multiLevelType w:val="hybridMultilevel"/>
    <w:tmpl w:val="EA8EF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75729"/>
    <w:multiLevelType w:val="multilevel"/>
    <w:tmpl w:val="F048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51D46"/>
    <w:multiLevelType w:val="multilevel"/>
    <w:tmpl w:val="18F27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D94099E"/>
    <w:multiLevelType w:val="hybridMultilevel"/>
    <w:tmpl w:val="5E02F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E"/>
    <w:rsid w:val="00037F8C"/>
    <w:rsid w:val="002C26BC"/>
    <w:rsid w:val="002D6B97"/>
    <w:rsid w:val="00434273"/>
    <w:rsid w:val="00476B8C"/>
    <w:rsid w:val="00585C27"/>
    <w:rsid w:val="005E5ED7"/>
    <w:rsid w:val="00612FE6"/>
    <w:rsid w:val="006964B7"/>
    <w:rsid w:val="00750C89"/>
    <w:rsid w:val="007D1054"/>
    <w:rsid w:val="00866A52"/>
    <w:rsid w:val="008E446F"/>
    <w:rsid w:val="008F0617"/>
    <w:rsid w:val="008F29FB"/>
    <w:rsid w:val="009F0C2E"/>
    <w:rsid w:val="009F405E"/>
    <w:rsid w:val="00AA7F79"/>
    <w:rsid w:val="00B5137A"/>
    <w:rsid w:val="00C61E33"/>
    <w:rsid w:val="00CE526E"/>
    <w:rsid w:val="00CF59C9"/>
    <w:rsid w:val="00D1187B"/>
    <w:rsid w:val="00DC365E"/>
    <w:rsid w:val="00DC44C2"/>
    <w:rsid w:val="00E358E9"/>
    <w:rsid w:val="00E37C5C"/>
    <w:rsid w:val="00E52704"/>
    <w:rsid w:val="00EA10BC"/>
    <w:rsid w:val="00F6498B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6B9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er">
    <w:name w:val="header"/>
    <w:basedOn w:val="Normal"/>
    <w:link w:val="HeaderChar"/>
    <w:rsid w:val="009F40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405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9F40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405E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9F405E"/>
  </w:style>
  <w:style w:type="paragraph" w:styleId="ListParagraph">
    <w:name w:val="List Paragraph"/>
    <w:basedOn w:val="Normal"/>
    <w:uiPriority w:val="34"/>
    <w:qFormat/>
    <w:rsid w:val="009F405E"/>
    <w:pPr>
      <w:spacing w:after="100" w:afterAutospacing="1"/>
      <w:ind w:left="720" w:right="420"/>
    </w:pPr>
    <w:rPr>
      <w:rFonts w:eastAsia="Calibri" w:cs="Arial"/>
      <w:szCs w:val="22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9F405E"/>
    <w:rPr>
      <w:rFonts w:ascii="Consolas" w:eastAsiaTheme="minorHAnsi" w:hAnsi="Consolas" w:cs="Consolas"/>
      <w:color w:val="0F243E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F405E"/>
    <w:rPr>
      <w:rFonts w:ascii="Consolas" w:hAnsi="Consolas" w:cs="Consolas"/>
      <w:color w:val="0F243E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9F405E"/>
    <w:rPr>
      <w:b/>
      <w:bCs/>
    </w:rPr>
  </w:style>
  <w:style w:type="character" w:styleId="Hyperlink">
    <w:name w:val="Hyperlink"/>
    <w:basedOn w:val="DefaultParagraphFont"/>
    <w:uiPriority w:val="99"/>
    <w:unhideWhenUsed/>
    <w:rsid w:val="009F4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5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7C5C"/>
    <w:rPr>
      <w:rFonts w:ascii="Times New Roman" w:eastAsiaTheme="minorHAnsi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5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D6B9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er">
    <w:name w:val="header"/>
    <w:basedOn w:val="Normal"/>
    <w:link w:val="HeaderChar"/>
    <w:rsid w:val="009F40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405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9F40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405E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9F405E"/>
  </w:style>
  <w:style w:type="paragraph" w:styleId="ListParagraph">
    <w:name w:val="List Paragraph"/>
    <w:basedOn w:val="Normal"/>
    <w:uiPriority w:val="34"/>
    <w:qFormat/>
    <w:rsid w:val="009F405E"/>
    <w:pPr>
      <w:spacing w:after="100" w:afterAutospacing="1"/>
      <w:ind w:left="720" w:right="420"/>
    </w:pPr>
    <w:rPr>
      <w:rFonts w:eastAsia="Calibri" w:cs="Arial"/>
      <w:szCs w:val="22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9F405E"/>
    <w:rPr>
      <w:rFonts w:ascii="Consolas" w:eastAsiaTheme="minorHAnsi" w:hAnsi="Consolas" w:cs="Consolas"/>
      <w:color w:val="0F243E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F405E"/>
    <w:rPr>
      <w:rFonts w:ascii="Consolas" w:hAnsi="Consolas" w:cs="Consolas"/>
      <w:color w:val="0F243E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9F405E"/>
    <w:rPr>
      <w:b/>
      <w:bCs/>
    </w:rPr>
  </w:style>
  <w:style w:type="character" w:styleId="Hyperlink">
    <w:name w:val="Hyperlink"/>
    <w:basedOn w:val="DefaultParagraphFont"/>
    <w:uiPriority w:val="99"/>
    <w:unhideWhenUsed/>
    <w:rsid w:val="009F4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5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7C5C"/>
    <w:rPr>
      <w:rFonts w:ascii="Times New Roman" w:eastAsiaTheme="minorHAnsi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donnellan@yarracity.vic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Simnett, Kate</dc:creator>
  <cp:keywords/>
  <dc:description/>
  <cp:lastModifiedBy>Simnett, Kate</cp:lastModifiedBy>
  <cp:revision>15</cp:revision>
  <dcterms:created xsi:type="dcterms:W3CDTF">2014-03-30T20:22:00Z</dcterms:created>
  <dcterms:modified xsi:type="dcterms:W3CDTF">2014-04-09T01:24:00Z</dcterms:modified>
</cp:coreProperties>
</file>